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E20F128"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00D07436"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5806E5A7"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1BA50DB0" w14:textId="77777777"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260AEBF6" w14:textId="77777777"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1C1B7212" w14:textId="024D9B3A" w:rsidR="00C85C3A"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63F3EF09" w14:textId="77777777" w:rsidR="00C85C3A" w:rsidRPr="00402500" w:rsidRDefault="00C85C3A" w:rsidP="00C85C3A">
      <w:pPr>
        <w:spacing w:after="0" w:line="480" w:lineRule="auto"/>
        <w:jc w:val="center"/>
        <w:rPr>
          <w:rFonts w:ascii="Times New Roman" w:eastAsia="Times New Roman" w:hAnsi="Times New Roman" w:cs="Times New Roman"/>
          <w:b/>
          <w:color w:val="000000" w:themeColor="text1"/>
          <w:sz w:val="24"/>
          <w:szCs w:val="24"/>
        </w:rPr>
      </w:pPr>
    </w:p>
    <w:p w14:paraId="20260596" w14:textId="77777777" w:rsidR="00C85C3A" w:rsidRPr="00A54510" w:rsidRDefault="00C85C3A" w:rsidP="00C85C3A">
      <w:pPr>
        <w:spacing w:after="0" w:line="480" w:lineRule="auto"/>
        <w:jc w:val="center"/>
        <w:rPr>
          <w:rFonts w:ascii="Times New Roman" w:eastAsia="Times New Roman" w:hAnsi="Times New Roman" w:cs="Times New Roman"/>
          <w:b/>
          <w:color w:val="000000" w:themeColor="text1"/>
          <w:sz w:val="28"/>
          <w:szCs w:val="28"/>
        </w:rPr>
      </w:pPr>
    </w:p>
    <w:p w14:paraId="6A5BF54E" w14:textId="60037921" w:rsidR="00A54510" w:rsidRPr="00A54510" w:rsidRDefault="00A54510" w:rsidP="00A54510">
      <w:pPr>
        <w:spacing w:line="480" w:lineRule="auto"/>
        <w:jc w:val="center"/>
        <w:rPr>
          <w:b/>
          <w:sz w:val="28"/>
          <w:szCs w:val="28"/>
        </w:rPr>
      </w:pPr>
      <w:r>
        <w:rPr>
          <w:b/>
          <w:sz w:val="28"/>
          <w:szCs w:val="28"/>
        </w:rPr>
        <w:t>Video Games are the New Rock and Roll</w:t>
      </w:r>
    </w:p>
    <w:p w14:paraId="64DEB043" w14:textId="77777777" w:rsidR="00A54510" w:rsidRPr="00A54510" w:rsidRDefault="00A54510" w:rsidP="00A54510">
      <w:pPr>
        <w:spacing w:line="360" w:lineRule="auto"/>
        <w:jc w:val="center"/>
        <w:rPr>
          <w:bCs/>
          <w:sz w:val="28"/>
          <w:szCs w:val="28"/>
        </w:rPr>
      </w:pPr>
      <w:r w:rsidRPr="00A54510">
        <w:rPr>
          <w:bCs/>
          <w:sz w:val="28"/>
          <w:szCs w:val="28"/>
        </w:rPr>
        <w:t>Abdulrahman Almutawtah</w:t>
      </w:r>
    </w:p>
    <w:p w14:paraId="4E1CEF01" w14:textId="77777777" w:rsidR="00A54510" w:rsidRPr="00A54510" w:rsidRDefault="00A54510" w:rsidP="00A54510">
      <w:pPr>
        <w:spacing w:line="360" w:lineRule="auto"/>
        <w:jc w:val="center"/>
        <w:rPr>
          <w:bCs/>
          <w:sz w:val="28"/>
          <w:szCs w:val="28"/>
        </w:rPr>
      </w:pPr>
      <w:r w:rsidRPr="00A54510">
        <w:rPr>
          <w:bCs/>
          <w:sz w:val="28"/>
          <w:szCs w:val="28"/>
        </w:rPr>
        <w:t>Core composite 1</w:t>
      </w:r>
    </w:p>
    <w:p w14:paraId="4709CC16" w14:textId="77777777" w:rsidR="00A54510" w:rsidRPr="00A54510" w:rsidRDefault="00A54510" w:rsidP="00A54510">
      <w:pPr>
        <w:spacing w:line="360" w:lineRule="auto"/>
        <w:jc w:val="center"/>
        <w:rPr>
          <w:bCs/>
          <w:sz w:val="28"/>
          <w:szCs w:val="28"/>
        </w:rPr>
      </w:pPr>
      <w:r w:rsidRPr="00A54510">
        <w:rPr>
          <w:bCs/>
          <w:sz w:val="28"/>
          <w:szCs w:val="28"/>
        </w:rPr>
        <w:t>4/12/2020</w:t>
      </w:r>
    </w:p>
    <w:p w14:paraId="1F54F9A2" w14:textId="77777777" w:rsidR="00C85C3A" w:rsidRPr="00B10B1A" w:rsidRDefault="00C85C3A" w:rsidP="00C85C3A">
      <w:pPr>
        <w:spacing w:after="0" w:line="480" w:lineRule="auto"/>
        <w:jc w:val="both"/>
        <w:rPr>
          <w:rFonts w:ascii="Times New Roman" w:eastAsia="Times New Roman" w:hAnsi="Times New Roman" w:cs="Times New Roman"/>
          <w:color w:val="000000" w:themeColor="text1"/>
          <w:sz w:val="24"/>
          <w:szCs w:val="24"/>
        </w:rPr>
      </w:pPr>
    </w:p>
    <w:p w14:paraId="19F98390"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1438D846"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3CDA84E"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3BE9EFC" w14:textId="7648C41A" w:rsidR="00C85C3A"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609816F3" w14:textId="77777777" w:rsidR="00A54510" w:rsidRDefault="00A54510"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09237918" w14:textId="77777777" w:rsidR="00A54510" w:rsidRPr="00402500" w:rsidRDefault="00A54510"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22E623E8"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71FC4682"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7629D126" w14:textId="77777777" w:rsidR="00C85C3A" w:rsidRPr="00402500" w:rsidRDefault="00C85C3A" w:rsidP="00C85C3A">
      <w:pPr>
        <w:tabs>
          <w:tab w:val="center" w:pos="4680"/>
          <w:tab w:val="left" w:pos="6660"/>
        </w:tabs>
        <w:spacing w:after="0" w:line="480" w:lineRule="auto"/>
        <w:rPr>
          <w:rFonts w:ascii="Times New Roman" w:eastAsia="Times New Roman" w:hAnsi="Times New Roman" w:cs="Times New Roman"/>
          <w:b/>
          <w:color w:val="000000" w:themeColor="text1"/>
          <w:sz w:val="24"/>
          <w:szCs w:val="24"/>
        </w:rPr>
      </w:pPr>
    </w:p>
    <w:p w14:paraId="4C09E59D"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lastRenderedPageBreak/>
        <w:t xml:space="preserve">The television violence theories include socialization of media and children, video games and violence, developmental perspectives, current TV viewing theory, aggressive cues, social cognition, social learning, and catharsis. Catharsis is the releasing process and thereby offering relief from repressed or strong emotions. Social learning is a social behavior </w:t>
      </w:r>
      <w:r>
        <w:rPr>
          <w:rFonts w:ascii="Times New Roman" w:eastAsia="Times New Roman" w:hAnsi="Times New Roman" w:cs="Times New Roman"/>
          <w:color w:val="000000" w:themeColor="text1"/>
          <w:sz w:val="24"/>
          <w:szCs w:val="24"/>
        </w:rPr>
        <w:t xml:space="preserve">model </w:t>
      </w:r>
      <w:r w:rsidRPr="00402500">
        <w:rPr>
          <w:rFonts w:ascii="Times New Roman" w:eastAsia="Times New Roman" w:hAnsi="Times New Roman" w:cs="Times New Roman"/>
          <w:color w:val="000000" w:themeColor="text1"/>
          <w:sz w:val="24"/>
          <w:szCs w:val="24"/>
        </w:rPr>
        <w:t>and learning proces</w:t>
      </w:r>
      <w:r>
        <w:rPr>
          <w:rFonts w:ascii="Times New Roman" w:eastAsia="Times New Roman" w:hAnsi="Times New Roman" w:cs="Times New Roman"/>
          <w:color w:val="000000" w:themeColor="text1"/>
          <w:sz w:val="24"/>
          <w:szCs w:val="24"/>
        </w:rPr>
        <w:t>s</w:t>
      </w:r>
      <w:r w:rsidRPr="00402500">
        <w:rPr>
          <w:rFonts w:ascii="Times New Roman" w:eastAsia="Times New Roman" w:hAnsi="Times New Roman" w:cs="Times New Roman"/>
          <w:color w:val="000000" w:themeColor="text1"/>
          <w:sz w:val="24"/>
          <w:szCs w:val="24"/>
        </w:rPr>
        <w:t xml:space="preserve"> that </w:t>
      </w:r>
      <w:r>
        <w:rPr>
          <w:rFonts w:ascii="Times New Roman" w:eastAsia="Times New Roman" w:hAnsi="Times New Roman" w:cs="Times New Roman"/>
          <w:color w:val="000000" w:themeColor="text1"/>
          <w:sz w:val="24"/>
          <w:szCs w:val="24"/>
        </w:rPr>
        <w:t xml:space="preserve">propose that contemporary </w:t>
      </w:r>
      <w:r w:rsidRPr="00402500">
        <w:rPr>
          <w:rFonts w:ascii="Times New Roman" w:eastAsia="Times New Roman" w:hAnsi="Times New Roman" w:cs="Times New Roman"/>
          <w:color w:val="000000" w:themeColor="text1"/>
          <w:sz w:val="24"/>
          <w:szCs w:val="24"/>
        </w:rPr>
        <w:t>behaviors may be obtained by observing and imitating other people. Social cognition argues that human being processes, stores, and applies information about social situations and other people. It concentrates on the role that cognitive process plays in social interaction. The aggressive cues are a theory that aggression actions are influenced by the presence of environmental situations or socially learned cues that make committing aggressions tolerable. This paper explores how video games do not affect people to commit crimes and endorse violence.</w:t>
      </w:r>
    </w:p>
    <w:p w14:paraId="32BA82D1"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Video game</w:t>
      </w:r>
      <w:r>
        <w:rPr>
          <w:rFonts w:ascii="Times New Roman" w:eastAsia="Times New Roman" w:hAnsi="Times New Roman" w:cs="Times New Roman"/>
          <w:color w:val="000000" w:themeColor="text1"/>
          <w:sz w:val="24"/>
          <w:szCs w:val="24"/>
        </w:rPr>
        <w:t>s are</w:t>
      </w:r>
      <w:r w:rsidRPr="00402500">
        <w:rPr>
          <w:rFonts w:ascii="Times New Roman" w:eastAsia="Times New Roman" w:hAnsi="Times New Roman" w:cs="Times New Roman"/>
          <w:color w:val="000000" w:themeColor="text1"/>
          <w:sz w:val="24"/>
          <w:szCs w:val="24"/>
        </w:rPr>
        <w:t xml:space="preserve"> vital education platform</w:t>
      </w:r>
      <w:r>
        <w:rPr>
          <w:rFonts w:ascii="Times New Roman" w:eastAsia="Times New Roman" w:hAnsi="Times New Roman" w:cs="Times New Roman"/>
          <w:color w:val="000000" w:themeColor="text1"/>
          <w:sz w:val="24"/>
          <w:szCs w:val="24"/>
        </w:rPr>
        <w:t>s</w:t>
      </w:r>
      <w:r w:rsidRPr="00402500">
        <w:rPr>
          <w:rFonts w:ascii="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 xml:space="preserve">Markey, Markey, &amp; French, 2015). </w:t>
      </w:r>
      <w:r>
        <w:rPr>
          <w:rFonts w:ascii="Times New Roman" w:eastAsia="Times New Roman" w:hAnsi="Times New Roman" w:cs="Times New Roman"/>
          <w:color w:val="000000" w:themeColor="text1"/>
          <w:sz w:val="24"/>
          <w:szCs w:val="24"/>
        </w:rPr>
        <w:t xml:space="preserve">Since </w:t>
      </w:r>
      <w:r w:rsidRPr="00402500">
        <w:rPr>
          <w:rFonts w:ascii="Times New Roman" w:eastAsia="Times New Roman" w:hAnsi="Times New Roman" w:cs="Times New Roman"/>
          <w:color w:val="000000" w:themeColor="text1"/>
          <w:sz w:val="24"/>
          <w:szCs w:val="24"/>
        </w:rPr>
        <w:t xml:space="preserve">millions of </w:t>
      </w:r>
      <w:r>
        <w:rPr>
          <w:rFonts w:ascii="Times New Roman" w:eastAsia="Times New Roman" w:hAnsi="Times New Roman" w:cs="Times New Roman"/>
          <w:color w:val="000000" w:themeColor="text1"/>
          <w:sz w:val="24"/>
          <w:szCs w:val="24"/>
        </w:rPr>
        <w:t>children</w:t>
      </w:r>
      <w:r w:rsidRPr="00402500">
        <w:rPr>
          <w:rFonts w:ascii="Times New Roman" w:eastAsia="Times New Roman" w:hAnsi="Times New Roman" w:cs="Times New Roman"/>
          <w:color w:val="000000" w:themeColor="text1"/>
          <w:sz w:val="24"/>
          <w:szCs w:val="24"/>
        </w:rPr>
        <w:t xml:space="preserve"> are playing video game</w:t>
      </w:r>
      <w:r>
        <w:rPr>
          <w:rFonts w:ascii="Times New Roman" w:eastAsia="Times New Roman" w:hAnsi="Times New Roman" w:cs="Times New Roman"/>
          <w:color w:val="000000" w:themeColor="text1"/>
          <w:sz w:val="24"/>
          <w:szCs w:val="24"/>
        </w:rPr>
        <w:t>s</w:t>
      </w:r>
      <w:r w:rsidRPr="00402500">
        <w:rPr>
          <w:rFonts w:ascii="Times New Roman" w:eastAsia="Times New Roman" w:hAnsi="Times New Roman" w:cs="Times New Roman"/>
          <w:color w:val="000000" w:themeColor="text1"/>
          <w:sz w:val="24"/>
          <w:szCs w:val="24"/>
        </w:rPr>
        <w:t xml:space="preserve">, it is </w:t>
      </w:r>
      <w:r>
        <w:rPr>
          <w:rFonts w:ascii="Times New Roman" w:eastAsia="Times New Roman" w:hAnsi="Times New Roman" w:cs="Times New Roman"/>
          <w:color w:val="000000" w:themeColor="text1"/>
          <w:sz w:val="24"/>
          <w:szCs w:val="24"/>
        </w:rPr>
        <w:t>possible</w:t>
      </w:r>
      <w:r w:rsidRPr="00402500">
        <w:rPr>
          <w:rFonts w:ascii="Times New Roman" w:eastAsia="Times New Roman" w:hAnsi="Times New Roman" w:cs="Times New Roman"/>
          <w:color w:val="000000" w:themeColor="text1"/>
          <w:sz w:val="24"/>
          <w:szCs w:val="24"/>
        </w:rPr>
        <w:t xml:space="preserve"> to educate people and </w:t>
      </w:r>
      <w:r>
        <w:rPr>
          <w:rFonts w:ascii="Times New Roman" w:eastAsia="Times New Roman" w:hAnsi="Times New Roman" w:cs="Times New Roman"/>
          <w:color w:val="000000" w:themeColor="text1"/>
          <w:sz w:val="24"/>
          <w:szCs w:val="24"/>
        </w:rPr>
        <w:t xml:space="preserve">particularly kids </w:t>
      </w:r>
      <w:r w:rsidRPr="00402500">
        <w:rPr>
          <w:rFonts w:ascii="Times New Roman" w:eastAsia="Times New Roman" w:hAnsi="Times New Roman" w:cs="Times New Roman"/>
          <w:color w:val="000000" w:themeColor="text1"/>
          <w:sz w:val="24"/>
          <w:szCs w:val="24"/>
        </w:rPr>
        <w:t xml:space="preserve">about the diverse manifestations of violent behaviors and how to overcome such aggression. Parents and guardians can also buy their children video games and </w:t>
      </w:r>
      <w:r>
        <w:rPr>
          <w:rFonts w:ascii="Times New Roman" w:eastAsia="Times New Roman" w:hAnsi="Times New Roman" w:cs="Times New Roman"/>
          <w:color w:val="000000" w:themeColor="text1"/>
          <w:sz w:val="24"/>
          <w:szCs w:val="24"/>
        </w:rPr>
        <w:t xml:space="preserve">monitor their kids </w:t>
      </w:r>
      <w:r w:rsidRPr="00402500">
        <w:rPr>
          <w:rFonts w:ascii="Times New Roman" w:eastAsia="Times New Roman" w:hAnsi="Times New Roman" w:cs="Times New Roman"/>
          <w:color w:val="000000" w:themeColor="text1"/>
          <w:sz w:val="24"/>
          <w:szCs w:val="24"/>
        </w:rPr>
        <w:t xml:space="preserve">to see </w:t>
      </w:r>
      <w:r>
        <w:rPr>
          <w:rFonts w:ascii="Times New Roman" w:eastAsia="Times New Roman" w:hAnsi="Times New Roman" w:cs="Times New Roman"/>
          <w:color w:val="000000" w:themeColor="text1"/>
          <w:sz w:val="24"/>
          <w:szCs w:val="24"/>
        </w:rPr>
        <w:t xml:space="preserve">how </w:t>
      </w:r>
      <w:r w:rsidRPr="00402500">
        <w:rPr>
          <w:rFonts w:ascii="Times New Roman" w:eastAsia="Times New Roman" w:hAnsi="Times New Roman" w:cs="Times New Roman"/>
          <w:color w:val="000000" w:themeColor="text1"/>
          <w:sz w:val="24"/>
          <w:szCs w:val="24"/>
        </w:rPr>
        <w:t>the</w:t>
      </w:r>
      <w:r>
        <w:rPr>
          <w:rFonts w:ascii="Times New Roman" w:eastAsia="Times New Roman" w:hAnsi="Times New Roman" w:cs="Times New Roman"/>
          <w:color w:val="000000" w:themeColor="text1"/>
          <w:sz w:val="24"/>
          <w:szCs w:val="24"/>
        </w:rPr>
        <w:t>y</w:t>
      </w:r>
      <w:r w:rsidRPr="00402500">
        <w:rPr>
          <w:rFonts w:ascii="Times New Roman" w:eastAsia="Times New Roman" w:hAnsi="Times New Roman" w:cs="Times New Roman"/>
          <w:color w:val="000000" w:themeColor="text1"/>
          <w:sz w:val="24"/>
          <w:szCs w:val="24"/>
        </w:rPr>
        <w:t xml:space="preserve"> play video games and take action when they </w:t>
      </w:r>
      <w:r>
        <w:rPr>
          <w:rFonts w:ascii="Times New Roman" w:eastAsia="Times New Roman" w:hAnsi="Times New Roman" w:cs="Times New Roman"/>
          <w:color w:val="000000" w:themeColor="text1"/>
          <w:sz w:val="24"/>
          <w:szCs w:val="24"/>
        </w:rPr>
        <w:t>realize unusual activities</w:t>
      </w:r>
      <w:r w:rsidRPr="00402500">
        <w:rPr>
          <w:rFonts w:ascii="Times New Roman" w:eastAsia="Times New Roman" w:hAnsi="Times New Roman" w:cs="Times New Roman"/>
          <w:color w:val="000000" w:themeColor="text1"/>
          <w:sz w:val="24"/>
          <w:szCs w:val="24"/>
        </w:rPr>
        <w:t xml:space="preserve">. Violent images present in computer games, videos, films, and televisions have considerable short-term impacts on emotions, arousals, and thoughts. Such exposures increase the probability of violent behaviors among the youth, particularly boys. The leading concern is that media aggression can lead to criminal and violent actions. There is consistent and clear proof that aggression in the media can cause real-life violence and aggression. Exposure to aggression on the Internet, video games, movies, and TVs increases the risk of aggressive behaviors on the viewers (Ferguson, 2011). </w:t>
      </w:r>
      <w:r w:rsidRPr="00402500">
        <w:rPr>
          <w:rFonts w:ascii="Times New Roman" w:eastAsia="Times New Roman" w:hAnsi="Times New Roman" w:cs="Times New Roman"/>
          <w:color w:val="000000" w:themeColor="text1"/>
          <w:sz w:val="24"/>
          <w:szCs w:val="24"/>
        </w:rPr>
        <w:lastRenderedPageBreak/>
        <w:t>Global electronic communication media have made it much difficult to safeguard youths from the threats; instead, they have exposed them to the dangers of violent behaviors.</w:t>
      </w:r>
    </w:p>
    <w:p w14:paraId="38394A0B"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While violent juvenile crime rates have greatly reduced, sales of violent video games have notably increased (Markey, Markey, &amp; French, 2015). From 1994 and 2014, the total video game software and hardware sales went up, reaching $ 13.10 billion or a 204% increase in 2014. The juvenile murders acting alone reduced by 76%, and the violent crimes fell by 37% during the same time. Researches claiming causal relationships between real-life violence and video game violence are inconsistent. The majority of studies fail to control for other aspects that contribute to people becoming aggressive like mental health and the history of the family. besides, many studies do not trace the children over long time periods. Experiments of video games usually have children playing the games for even less than fifteen minutes that are not translations of how the game is played in real life. in most laboratory researches, particularly those that involve children, investigators must apply aggression and violence artificial measures that do not represent real-world aggression and violence (Ferguson, 2011). Matching conditions of video games more cautiously in experimental investigations with the way they are played in real life make effects of violent video games on violence and aggressions disappear.</w:t>
      </w:r>
    </w:p>
    <w:p w14:paraId="08DA51BB" w14:textId="14B399BA"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The violent video game enables children to release their anger and stress in the games, resulting in less real-world aggression and violence (Markey, Markey, &amp; French, 2015). Kids, particularly boys, play violent video games as a way of releasing their stress and managing their emotions. Scholars point to the video games' cathartic effects as potential reasons for why higher sales of violent video games have been related to lower rates of crime. Children use games to relieve stress and work through angry feelings. The video game serves as substitutes for tumble-and-rough plays</w:t>
      </w:r>
      <w:r w:rsidR="00A54510" w:rsidRPr="00402500">
        <w:rPr>
          <w:rFonts w:ascii="Times New Roman" w:eastAsia="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 xml:space="preserve">Players of violent video games understand the differences between appropriate </w:t>
      </w:r>
      <w:r w:rsidRPr="00402500">
        <w:rPr>
          <w:rFonts w:ascii="Times New Roman" w:eastAsia="Times New Roman" w:hAnsi="Times New Roman" w:cs="Times New Roman"/>
          <w:color w:val="000000" w:themeColor="text1"/>
          <w:sz w:val="24"/>
          <w:szCs w:val="24"/>
        </w:rPr>
        <w:lastRenderedPageBreak/>
        <w:t>real-world behaviors and virtual violence in the game context. Children can differentiate fantasies from realities by the age of seven years and can distinguish between real-world violence and video-game violence. The players of violent video games comprehend they are just playing games. All the time, children watch fantasy violence from Tom and Jerry and Bugs Bunny to the Minions and Harry Potter. Their abilities to differentiate between realities and fantasies prevent them from imitating violence in video games in real life. exposures to fantasies are vital for children. Pretending is more than playing. It is the main section of child development (Ferguson, 2011). Fantasies develop creative thinking. Also, it is a way for children to handle problems and situations that concern them.</w:t>
      </w:r>
    </w:p>
    <w:p w14:paraId="3A7E1C38"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Researches have indicated that violent video games may have positive effects on prosocial behaviors, kindness, and civic engagement (Markey, Markey, &amp; French, 2015). Studies show that playing video games can prompt guilt feelings that result in positive actions that benefit other people (prosocial behaviors) in the real world. Teenagers exposed to aggression in violent video games display more civic engagements and prosocial behaviors because of the team-based multiplayer alternatives in the majority of the games. Also, scholars have indicated that playing video games leads to improved moral sensitivity. Almost all boys play video games. Therefore, the fact some of them engage in violent activities does not mean causal relationships, nor should it be shocking. Many risk factors are related to youth aggression. But the video game is not one of them (Ferguson, 2011). Youth violence risk factors include mental health challenges, drug abuse, being male, neighborhood crime, neglect, poverty, as well as abusive parent, but not a video game.</w:t>
      </w:r>
    </w:p>
    <w:p w14:paraId="130D6D68" w14:textId="77777777" w:rsidR="00C85C3A" w:rsidRPr="00402500"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 xml:space="preserve">Violent video games offer opportunities for people to examine practically the violent action implications and to build their moral scopes (Markey, Markey, &amp; French, 2015). Violent </w:t>
      </w:r>
      <w:r w:rsidRPr="00402500">
        <w:rPr>
          <w:rFonts w:ascii="Times New Roman" w:eastAsia="Times New Roman" w:hAnsi="Times New Roman" w:cs="Times New Roman"/>
          <w:color w:val="000000" w:themeColor="text1"/>
          <w:sz w:val="24"/>
          <w:szCs w:val="24"/>
        </w:rPr>
        <w:lastRenderedPageBreak/>
        <w:t>games enable youths to experiment with moral issues like death, wars, and violence without real-world implications. The majority of the violence-theme video games need or enable the player to soldier roles from diverse war sides, maybe making them more aware of war costs. Because children and youths are busy playing the games rather than committing violent actions, violent video games can reduce crimes. Violent children usually seek out violent games. The time such violent individuals spend to play the game is taking them off the violent activities that lead to reduced criminal activities</w:t>
      </w:r>
      <w:r w:rsidRPr="00402500">
        <w:rPr>
          <w:rFonts w:ascii="Times New Roman" w:hAnsi="Times New Roman" w:cs="Times New Roman"/>
          <w:color w:val="000000" w:themeColor="text1"/>
          <w:sz w:val="24"/>
          <w:szCs w:val="24"/>
        </w:rPr>
        <w:t xml:space="preserve"> (</w:t>
      </w:r>
      <w:r w:rsidRPr="00402500">
        <w:rPr>
          <w:rFonts w:ascii="Times New Roman" w:eastAsia="Times New Roman" w:hAnsi="Times New Roman" w:cs="Times New Roman"/>
          <w:color w:val="000000" w:themeColor="text1"/>
          <w:sz w:val="24"/>
          <w:szCs w:val="24"/>
        </w:rPr>
        <w:t xml:space="preserve">Ferguson, 2011). It is referred to as the incapacitation effects. </w:t>
      </w:r>
    </w:p>
    <w:p w14:paraId="5CA66813" w14:textId="77777777" w:rsidR="00C85C3A" w:rsidRDefault="00C85C3A" w:rsidP="00C85C3A">
      <w:pPr>
        <w:spacing w:line="480" w:lineRule="auto"/>
        <w:ind w:firstLine="720"/>
        <w:jc w:val="both"/>
        <w:rPr>
          <w:rFonts w:ascii="Times New Roman" w:eastAsia="Times New Roman" w:hAnsi="Times New Roman" w:cs="Times New Roman"/>
          <w:color w:val="000000" w:themeColor="text1"/>
          <w:sz w:val="24"/>
          <w:szCs w:val="24"/>
        </w:rPr>
      </w:pPr>
      <w:r w:rsidRPr="00402500">
        <w:rPr>
          <w:rFonts w:ascii="Times New Roman" w:eastAsia="Times New Roman" w:hAnsi="Times New Roman" w:cs="Times New Roman"/>
          <w:color w:val="000000" w:themeColor="text1"/>
          <w:sz w:val="24"/>
          <w:szCs w:val="24"/>
        </w:rPr>
        <w:t>The competitive video game nature is what arouses violence, not the violent content level. The competitive video game nature is associated with violent behaviors, irrespective of whether the games contain aggressive content or not. The competitive game nature results in increased violent behaviors. Usually, adults unfairly belittle modern items that youths love like video games. The moral panics that most older generations feel about violence are overstated sense of public anxiety, concerns, and fear over perceived social corruption threats. From history, other moral panic examples include social media, the use of mobile phones, TVs, radios, comic books, and rock and roll.</w:t>
      </w:r>
    </w:p>
    <w:p w14:paraId="76F37F3C" w14:textId="77777777" w:rsidR="00C85C3A" w:rsidRDefault="00C85C3A" w:rsidP="00C85C3A">
      <w:pPr>
        <w:spacing w:line="480" w:lineRule="auto"/>
        <w:jc w:val="both"/>
        <w:rPr>
          <w:rFonts w:ascii="Times New Roman" w:eastAsia="Times New Roman" w:hAnsi="Times New Roman" w:cs="Times New Roman"/>
          <w:color w:val="000000" w:themeColor="text1"/>
          <w:sz w:val="24"/>
          <w:szCs w:val="24"/>
        </w:rPr>
      </w:pPr>
    </w:p>
    <w:p w14:paraId="766514EF" w14:textId="77777777" w:rsidR="00C85C3A" w:rsidRDefault="00C85C3A" w:rsidP="00C85C3A">
      <w:pPr>
        <w:spacing w:line="480" w:lineRule="auto"/>
        <w:jc w:val="both"/>
        <w:rPr>
          <w:rFonts w:ascii="Times New Roman" w:hAnsi="Times New Roman" w:cs="Times New Roman"/>
          <w:color w:val="000000" w:themeColor="text1"/>
          <w:sz w:val="24"/>
          <w:szCs w:val="24"/>
        </w:rPr>
      </w:pPr>
    </w:p>
    <w:p w14:paraId="1EE103A5" w14:textId="7C94B56C" w:rsidR="00C85C3A" w:rsidRDefault="00C85C3A" w:rsidP="00C85C3A">
      <w:pPr>
        <w:spacing w:line="480" w:lineRule="auto"/>
        <w:jc w:val="both"/>
        <w:rPr>
          <w:rFonts w:ascii="Times New Roman" w:hAnsi="Times New Roman" w:cs="Times New Roman"/>
          <w:color w:val="000000" w:themeColor="text1"/>
          <w:sz w:val="24"/>
          <w:szCs w:val="24"/>
        </w:rPr>
      </w:pPr>
    </w:p>
    <w:p w14:paraId="7000EBDD" w14:textId="77777777" w:rsidR="00C85C3A" w:rsidRDefault="00C85C3A" w:rsidP="00C85C3A">
      <w:pPr>
        <w:spacing w:line="480" w:lineRule="auto"/>
        <w:jc w:val="both"/>
        <w:rPr>
          <w:rFonts w:ascii="Times New Roman" w:hAnsi="Times New Roman" w:cs="Times New Roman"/>
          <w:color w:val="000000" w:themeColor="text1"/>
          <w:sz w:val="24"/>
          <w:szCs w:val="24"/>
        </w:rPr>
      </w:pPr>
    </w:p>
    <w:p w14:paraId="39559D4B" w14:textId="77777777" w:rsidR="00C85C3A" w:rsidRDefault="00C85C3A" w:rsidP="00C85C3A">
      <w:pPr>
        <w:spacing w:line="480" w:lineRule="auto"/>
        <w:jc w:val="both"/>
        <w:rPr>
          <w:rFonts w:ascii="Times New Roman" w:hAnsi="Times New Roman" w:cs="Times New Roman"/>
          <w:color w:val="000000" w:themeColor="text1"/>
          <w:sz w:val="24"/>
          <w:szCs w:val="24"/>
        </w:rPr>
      </w:pPr>
    </w:p>
    <w:p w14:paraId="2480239C" w14:textId="77777777" w:rsidR="00C85C3A" w:rsidRPr="00402500" w:rsidRDefault="00C85C3A" w:rsidP="00C85C3A">
      <w:pPr>
        <w:spacing w:line="480" w:lineRule="auto"/>
        <w:jc w:val="both"/>
        <w:rPr>
          <w:rFonts w:ascii="Times New Roman" w:hAnsi="Times New Roman" w:cs="Times New Roman"/>
          <w:color w:val="000000" w:themeColor="text1"/>
          <w:sz w:val="24"/>
          <w:szCs w:val="24"/>
        </w:rPr>
      </w:pPr>
    </w:p>
    <w:p w14:paraId="62E2D795" w14:textId="77777777" w:rsidR="00C85C3A" w:rsidRPr="00402500" w:rsidRDefault="00C85C3A" w:rsidP="00C85C3A">
      <w:pPr>
        <w:tabs>
          <w:tab w:val="left" w:pos="1215"/>
        </w:tabs>
        <w:spacing w:line="480" w:lineRule="auto"/>
        <w:jc w:val="center"/>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lastRenderedPageBreak/>
        <w:t>References</w:t>
      </w:r>
    </w:p>
    <w:p w14:paraId="33756D02" w14:textId="77777777" w:rsidR="00C85C3A" w:rsidRPr="00402500" w:rsidRDefault="00C85C3A" w:rsidP="00C85C3A">
      <w:pPr>
        <w:tabs>
          <w:tab w:val="left" w:pos="1215"/>
        </w:tabs>
        <w:spacing w:line="480" w:lineRule="auto"/>
        <w:ind w:left="1213" w:hanging="1213"/>
        <w:jc w:val="both"/>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t>Ferguson, C. J. (2011). Video games and youth violence: A prospective analysis in adolescents. Journal of youth and adolescence, 40(4), 377-391.</w:t>
      </w:r>
    </w:p>
    <w:p w14:paraId="3AE3C58F" w14:textId="77777777" w:rsidR="00C85C3A" w:rsidRPr="00402500" w:rsidRDefault="00C85C3A" w:rsidP="00C85C3A">
      <w:pPr>
        <w:tabs>
          <w:tab w:val="left" w:pos="1215"/>
        </w:tabs>
        <w:spacing w:line="480" w:lineRule="auto"/>
        <w:ind w:left="1213" w:hanging="1213"/>
        <w:jc w:val="both"/>
        <w:rPr>
          <w:rFonts w:ascii="Times New Roman" w:hAnsi="Times New Roman" w:cs="Times New Roman"/>
          <w:color w:val="000000" w:themeColor="text1"/>
          <w:sz w:val="24"/>
          <w:szCs w:val="24"/>
        </w:rPr>
      </w:pPr>
      <w:r w:rsidRPr="00402500">
        <w:rPr>
          <w:rFonts w:ascii="Times New Roman" w:hAnsi="Times New Roman" w:cs="Times New Roman"/>
          <w:color w:val="000000" w:themeColor="text1"/>
          <w:sz w:val="24"/>
          <w:szCs w:val="24"/>
        </w:rPr>
        <w:t>Markey, P. M., Markey, C. N., &amp; French, J. E. (2015). Violent video games and real-world violence: Rhetoric versus data. Psychology of Popular Media Culture, 4(4), 277.</w:t>
      </w:r>
    </w:p>
    <w:p w14:paraId="6174696D" w14:textId="3123D612" w:rsidR="0053081B" w:rsidRPr="00C85C3A" w:rsidRDefault="0053081B" w:rsidP="00C85C3A"/>
    <w:sectPr w:rsidR="0053081B" w:rsidRPr="00C85C3A" w:rsidSect="00B10B1A">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348724081"/>
      <w:docPartObj>
        <w:docPartGallery w:val="Page Numbers (Top of Page)"/>
        <w:docPartUnique/>
      </w:docPartObj>
    </w:sdtPr>
    <w:sdtEndPr>
      <w:rPr>
        <w:noProof/>
      </w:rPr>
    </w:sdtEndPr>
    <w:sdtContent>
      <w:p w14:paraId="4F1EE500" w14:textId="77777777" w:rsidR="00057A7E" w:rsidRPr="00B10B1A" w:rsidRDefault="00A54510" w:rsidP="00B10B1A">
        <w:pPr>
          <w:pStyle w:val="Header"/>
          <w:rPr>
            <w:rFonts w:ascii="Times New Roman" w:hAnsi="Times New Roman" w:cs="Times New Roman"/>
            <w:sz w:val="24"/>
            <w:szCs w:val="24"/>
          </w:rPr>
        </w:pPr>
        <w:r w:rsidRPr="00B10B1A">
          <w:rPr>
            <w:rFonts w:ascii="Times New Roman" w:hAnsi="Times New Roman" w:cs="Times New Roman"/>
            <w:sz w:val="24"/>
            <w:szCs w:val="24"/>
          </w:rPr>
          <w:t>VIDEO GAMES</w:t>
        </w:r>
        <w:r w:rsidRPr="00B10B1A">
          <w:rPr>
            <w:rFonts w:ascii="Times New Roman" w:hAnsi="Times New Roman" w:cs="Times New Roman"/>
            <w:sz w:val="24"/>
            <w:szCs w:val="24"/>
          </w:rPr>
          <w:tab/>
        </w:r>
        <w:r w:rsidRPr="00B10B1A">
          <w:rPr>
            <w:rFonts w:ascii="Times New Roman" w:hAnsi="Times New Roman" w:cs="Times New Roman"/>
            <w:sz w:val="24"/>
            <w:szCs w:val="24"/>
          </w:rPr>
          <w:tab/>
        </w:r>
        <w:r w:rsidRPr="00B10B1A">
          <w:rPr>
            <w:rFonts w:ascii="Times New Roman" w:hAnsi="Times New Roman" w:cs="Times New Roman"/>
            <w:sz w:val="24"/>
            <w:szCs w:val="24"/>
          </w:rPr>
          <w:fldChar w:fldCharType="begin"/>
        </w:r>
        <w:r w:rsidRPr="00B10B1A">
          <w:rPr>
            <w:rFonts w:ascii="Times New Roman" w:hAnsi="Times New Roman" w:cs="Times New Roman"/>
            <w:sz w:val="24"/>
            <w:szCs w:val="24"/>
          </w:rPr>
          <w:instrText xml:space="preserve"> PAGE   \* MERGEFORMAT </w:instrText>
        </w:r>
        <w:r w:rsidRPr="00B10B1A">
          <w:rPr>
            <w:rFonts w:ascii="Times New Roman" w:hAnsi="Times New Roman" w:cs="Times New Roman"/>
            <w:sz w:val="24"/>
            <w:szCs w:val="24"/>
          </w:rPr>
          <w:fldChar w:fldCharType="separate"/>
        </w:r>
        <w:r>
          <w:rPr>
            <w:rFonts w:ascii="Times New Roman" w:hAnsi="Times New Roman" w:cs="Times New Roman"/>
            <w:noProof/>
            <w:sz w:val="24"/>
            <w:szCs w:val="24"/>
          </w:rPr>
          <w:t>4</w:t>
        </w:r>
        <w:r w:rsidRPr="00B10B1A">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2A551A8" w14:textId="77777777" w:rsidR="00B10B1A" w:rsidRPr="00B10B1A" w:rsidRDefault="00A54510" w:rsidP="00B10B1A">
    <w:pPr>
      <w:pStyle w:val="Header"/>
      <w:jc w:val="right"/>
      <w:rPr>
        <w:rFonts w:ascii="Times New Roman" w:hAnsi="Times New Roman" w:cs="Times New Roman"/>
        <w:sz w:val="24"/>
        <w:szCs w:val="24"/>
      </w:rPr>
    </w:pPr>
    <w:r w:rsidRPr="00B10B1A">
      <w:rPr>
        <w:rFonts w:ascii="Times New Roman" w:hAnsi="Times New Roman" w:cs="Times New Roman"/>
        <w:sz w:val="24"/>
        <w:szCs w:val="24"/>
      </w:rPr>
      <w:t xml:space="preserve">Running head: VIDEO GAMES </w:t>
    </w:r>
    <w:r w:rsidRPr="00B10B1A">
      <w:rPr>
        <w:rFonts w:ascii="Times New Roman" w:hAnsi="Times New Roman" w:cs="Times New Roman"/>
        <w:sz w:val="24"/>
        <w:szCs w:val="24"/>
      </w:rPr>
      <w:tab/>
    </w:r>
    <w:r w:rsidRPr="00B10B1A">
      <w:rPr>
        <w:rFonts w:ascii="Times New Roman" w:hAnsi="Times New Roman" w:cs="Times New Roman"/>
        <w:sz w:val="24"/>
        <w:szCs w:val="24"/>
      </w:rPr>
      <w:tab/>
    </w:r>
    <w:sdt>
      <w:sdtPr>
        <w:rPr>
          <w:rFonts w:ascii="Times New Roman" w:hAnsi="Times New Roman" w:cs="Times New Roman"/>
          <w:sz w:val="24"/>
          <w:szCs w:val="24"/>
        </w:rPr>
        <w:id w:val="293413868"/>
        <w:docPartObj>
          <w:docPartGallery w:val="Page Numbers (Top of Page)"/>
          <w:docPartUnique/>
        </w:docPartObj>
      </w:sdtPr>
      <w:sdtEndPr>
        <w:rPr>
          <w:noProof/>
        </w:rPr>
      </w:sdtEndPr>
      <w:sdtContent>
        <w:r w:rsidRPr="00B10B1A">
          <w:rPr>
            <w:rFonts w:ascii="Times New Roman" w:hAnsi="Times New Roman" w:cs="Times New Roman"/>
            <w:sz w:val="24"/>
            <w:szCs w:val="24"/>
          </w:rPr>
          <w:fldChar w:fldCharType="begin"/>
        </w:r>
        <w:r w:rsidRPr="00B10B1A">
          <w:rPr>
            <w:rFonts w:ascii="Times New Roman" w:hAnsi="Times New Roman" w:cs="Times New Roman"/>
            <w:sz w:val="24"/>
            <w:szCs w:val="24"/>
          </w:rPr>
          <w:instrText xml:space="preserve"> PAGE   \* MERGEFORMAT </w:instrText>
        </w:r>
        <w:r w:rsidRPr="00B10B1A">
          <w:rPr>
            <w:rFonts w:ascii="Times New Roman" w:hAnsi="Times New Roman" w:cs="Times New Roman"/>
            <w:sz w:val="24"/>
            <w:szCs w:val="24"/>
          </w:rPr>
          <w:fldChar w:fldCharType="separate"/>
        </w:r>
        <w:r>
          <w:rPr>
            <w:rFonts w:ascii="Times New Roman" w:hAnsi="Times New Roman" w:cs="Times New Roman"/>
            <w:noProof/>
            <w:sz w:val="24"/>
            <w:szCs w:val="24"/>
          </w:rPr>
          <w:t>1</w:t>
        </w:r>
        <w:r w:rsidRPr="00B10B1A">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1674"/>
    <w:rsid w:val="00457F48"/>
    <w:rsid w:val="0053081B"/>
    <w:rsid w:val="00A54510"/>
    <w:rsid w:val="00BE7A0A"/>
    <w:rsid w:val="00C85C3A"/>
    <w:rsid w:val="00E36B77"/>
    <w:rsid w:val="00FC1674"/>
  </w:rsids>
  <m:mathPr>
    <m:mathFont m:val="Cambria Math"/>
    <m:brkBin m:val="before"/>
    <m:brkBinSub m:val="--"/>
    <m:smallFrac m:val="0"/>
    <m:dispDef/>
    <m:lMargin m:val="0"/>
    <m:rMargin m:val="0"/>
    <m:defJc m:val="centerGroup"/>
    <m:wrapIndent m:val="1440"/>
    <m:intLim m:val="subSup"/>
    <m:naryLim m:val="undOvr"/>
  </m:mathPr>
  <w:themeFontLang w:val="en-US" w:eastAsia="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48D15D"/>
  <w15:chartTrackingRefBased/>
  <w15:docId w15:val="{9D6A0A00-4162-4626-BDF6-2EBFD6CF0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85C3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85C3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85C3A"/>
    <w:rP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eader" Target="header2.xml"/><Relationship Id="rId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6</Pages>
  <Words>1187</Words>
  <Characters>6766</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Abdulrhman Almutawtah</dc:creator>
  <cp:keywords/>
  <dc:description/>
  <cp:lastModifiedBy>Abdulrhman Almutawtah</cp:lastModifiedBy>
  <cp:revision>2</cp:revision>
  <dcterms:created xsi:type="dcterms:W3CDTF">2020-04-21T21:57:00Z</dcterms:created>
  <dcterms:modified xsi:type="dcterms:W3CDTF">2020-04-21T22:14:00Z</dcterms:modified>
</cp:coreProperties>
</file>